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FBF6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14:paraId="05846219" w14:textId="77777777" w:rsidTr="00A06425">
        <w:tc>
          <w:tcPr>
            <w:tcW w:w="15388" w:type="dxa"/>
            <w:gridSpan w:val="6"/>
            <w:vAlign w:val="center"/>
          </w:tcPr>
          <w:p w14:paraId="714880DC" w14:textId="5604DD99" w:rsidR="00A06425" w:rsidRPr="002A5E72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5E72">
              <w:rPr>
                <w:rFonts w:asciiTheme="minorHAnsi" w:hAnsiTheme="minorHAnsi" w:cstheme="minorHAnsi"/>
                <w:i/>
                <w:sz w:val="22"/>
                <w:szCs w:val="22"/>
              </w:rPr>
              <w:t>Nazwa dokumentu:</w:t>
            </w:r>
            <w:r w:rsidR="0006582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065821" w:rsidRPr="00065821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</w:t>
            </w:r>
            <w:r w:rsidR="002A5E72" w:rsidRPr="002A5E72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rojekt ustawy o wyrobach zawierających azbest (UC60) </w:t>
            </w:r>
            <w:r w:rsidR="002A5E72" w:rsidRPr="002A5E72">
              <w:rPr>
                <w:rFonts w:asciiTheme="minorHAnsi" w:hAnsiTheme="minorHAnsi" w:cstheme="minorHAnsi"/>
                <w:i/>
                <w:sz w:val="22"/>
                <w:szCs w:val="22"/>
              </w:rPr>
              <w:t>– wnioskodawca Minister Rozwoju i Technologii</w:t>
            </w:r>
          </w:p>
        </w:tc>
      </w:tr>
      <w:tr w:rsidR="00A06425" w:rsidRPr="00A06425" w14:paraId="25F410CB" w14:textId="77777777" w:rsidTr="00895ACE">
        <w:tc>
          <w:tcPr>
            <w:tcW w:w="562" w:type="dxa"/>
            <w:vAlign w:val="center"/>
          </w:tcPr>
          <w:p w14:paraId="42B41B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128BC2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169EE2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vAlign w:val="center"/>
          </w:tcPr>
          <w:p w14:paraId="68643A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vAlign w:val="center"/>
          </w:tcPr>
          <w:p w14:paraId="6826AB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14:paraId="2E8E58D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4BF4281" w14:textId="77777777" w:rsidTr="00895ACE">
        <w:tc>
          <w:tcPr>
            <w:tcW w:w="562" w:type="dxa"/>
          </w:tcPr>
          <w:p w14:paraId="1F3514E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A68BC69" w14:textId="43750B25" w:rsidR="002A5E72" w:rsidRDefault="002A5E7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52700E54" w14:textId="5A74243C" w:rsidR="00A06425" w:rsidRPr="00A06425" w:rsidRDefault="00AE5E1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KG PSP</w:t>
            </w:r>
          </w:p>
        </w:tc>
        <w:tc>
          <w:tcPr>
            <w:tcW w:w="1843" w:type="dxa"/>
          </w:tcPr>
          <w:p w14:paraId="2FE284A2" w14:textId="4939AAC0" w:rsidR="00A06425" w:rsidRPr="00A06425" w:rsidRDefault="00AE5E1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11 ust. 10</w:t>
            </w:r>
          </w:p>
        </w:tc>
        <w:tc>
          <w:tcPr>
            <w:tcW w:w="4678" w:type="dxa"/>
          </w:tcPr>
          <w:p w14:paraId="320D22C1" w14:textId="40121AC0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yrazy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„funkcjonariuszy</w:t>
            </w:r>
          </w:p>
          <w:p w14:paraId="3CFB1A09" w14:textId="7BA761BF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pożarnictwa” 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084889">
              <w:rPr>
                <w:rFonts w:asciiTheme="minorHAnsi" w:hAnsiTheme="minorHAnsi" w:cstheme="minorHAnsi"/>
                <w:sz w:val="22"/>
                <w:szCs w:val="22"/>
              </w:rPr>
              <w:t>e się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 zastąpić wyrazami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„strażaków Państwowej Straży Pożarnej</w:t>
            </w:r>
          </w:p>
          <w:p w14:paraId="08228F88" w14:textId="77777777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</w:t>
            </w:r>
          </w:p>
          <w:p w14:paraId="200705B5" w14:textId="632EDC5A" w:rsidR="00A06425" w:rsidRPr="00FA74AC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ratowniczych".</w:t>
            </w:r>
            <w:r w:rsidR="007808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FA74A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80895" w:rsidRPr="00780895">
              <w:rPr>
                <w:rFonts w:asciiTheme="minorHAnsi" w:hAnsiTheme="minorHAnsi" w:cstheme="minorHAnsi"/>
                <w:sz w:val="22"/>
                <w:szCs w:val="22"/>
              </w:rPr>
              <w:t>Powyższa propozycja zmierza do objęcia zakresem regulacji nie tylko strażaków Państwowej Straży Pożarnej ale również strażaków ochotniczych straży pożarnych. Ponadto precyzuje, iż szkolenia z zakresu azbestu dotyczą tylko sytuacji związanych z działaniami ratowniczymi i akcjami ratowniczymi.</w:t>
            </w:r>
          </w:p>
        </w:tc>
        <w:tc>
          <w:tcPr>
            <w:tcW w:w="3544" w:type="dxa"/>
          </w:tcPr>
          <w:p w14:paraId="7546668A" w14:textId="17A61B0F" w:rsidR="00FC2FE2" w:rsidRPr="00FC2FE2" w:rsidRDefault="00FC2FE2" w:rsidP="00FC2FE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C2F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„10. Przepisów ust. 1–5 oraz ust. 7 i 8 nie stosuje się do strażaków Państwowej Straży Pożarnej</w:t>
            </w:r>
          </w:p>
          <w:p w14:paraId="4872B5D6" w14:textId="01395E23" w:rsidR="00A06425" w:rsidRPr="00FC2FE2" w:rsidRDefault="00FC2FE2" w:rsidP="00FC2FE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C2F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 ratowniczych.”.</w:t>
            </w:r>
          </w:p>
        </w:tc>
        <w:tc>
          <w:tcPr>
            <w:tcW w:w="3627" w:type="dxa"/>
          </w:tcPr>
          <w:p w14:paraId="73B6BEB6" w14:textId="36A37BDD" w:rsidR="00A06425" w:rsidRPr="00A06425" w:rsidRDefault="00B16BEC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</w:tc>
      </w:tr>
      <w:tr w:rsidR="00A06425" w:rsidRPr="00A06425" w14:paraId="756AEFF1" w14:textId="77777777" w:rsidTr="00895ACE">
        <w:tc>
          <w:tcPr>
            <w:tcW w:w="562" w:type="dxa"/>
          </w:tcPr>
          <w:p w14:paraId="7867286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C395D62" w14:textId="0A479351" w:rsidR="002A5E72" w:rsidRDefault="002A5E7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2885D395" w14:textId="0FDB1161" w:rsidR="00A06425" w:rsidRPr="00A06425" w:rsidRDefault="00AE5E1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KG PSP</w:t>
            </w:r>
          </w:p>
        </w:tc>
        <w:tc>
          <w:tcPr>
            <w:tcW w:w="1843" w:type="dxa"/>
          </w:tcPr>
          <w:p w14:paraId="3112BECA" w14:textId="1678F397" w:rsidR="00A06425" w:rsidRPr="00A06425" w:rsidRDefault="00AE5E1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13 ust. 3</w:t>
            </w:r>
          </w:p>
        </w:tc>
        <w:tc>
          <w:tcPr>
            <w:tcW w:w="4678" w:type="dxa"/>
          </w:tcPr>
          <w:p w14:paraId="3887170B" w14:textId="0909D497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yrazy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„funkcjonariuszy</w:t>
            </w:r>
          </w:p>
          <w:p w14:paraId="318BDD4F" w14:textId="464E0B0C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pożarnictwa” 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084889">
              <w:rPr>
                <w:rFonts w:asciiTheme="minorHAnsi" w:hAnsiTheme="minorHAnsi" w:cstheme="minorHAnsi"/>
                <w:sz w:val="22"/>
                <w:szCs w:val="22"/>
              </w:rPr>
              <w:t>e się</w:t>
            </w:r>
            <w:r w:rsidRPr="00AE5E10">
              <w:rPr>
                <w:rFonts w:asciiTheme="minorHAnsi" w:hAnsiTheme="minorHAnsi" w:cstheme="minorHAnsi"/>
                <w:sz w:val="22"/>
                <w:szCs w:val="22"/>
              </w:rPr>
              <w:t xml:space="preserve"> zastąpić wyrazami </w:t>
            </w: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„strażaków Państwowej Straży Pożarnej</w:t>
            </w:r>
          </w:p>
          <w:p w14:paraId="5DB5F125" w14:textId="77777777" w:rsidR="00AE5E10" w:rsidRPr="00AE5E10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</w:t>
            </w:r>
          </w:p>
          <w:p w14:paraId="372E260C" w14:textId="649DC694" w:rsidR="00A06425" w:rsidRPr="00FA74AC" w:rsidRDefault="00AE5E10" w:rsidP="002A5E7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E5E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ratowniczych".</w:t>
            </w:r>
            <w:r w:rsidR="0078089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780895" w:rsidRPr="00780895">
              <w:rPr>
                <w:rFonts w:asciiTheme="minorHAnsi" w:hAnsiTheme="minorHAnsi" w:cstheme="minorHAnsi"/>
                <w:sz w:val="22"/>
                <w:szCs w:val="22"/>
              </w:rPr>
              <w:t>Powyższa propozycja zmierza do objęcia zakresem regulacji nie tylko strażaków Państwowej Straży Pożarnej ale również strażaków ochotniczych straży pożarnych. Ponadto precyzuje, iż szkolenia z zakresu azbestu dotyczą tylko sytuacji związanych z działaniami ratowniczymi i akcjami ratowniczymi.</w:t>
            </w:r>
          </w:p>
        </w:tc>
        <w:tc>
          <w:tcPr>
            <w:tcW w:w="3544" w:type="dxa"/>
          </w:tcPr>
          <w:p w14:paraId="4070EE16" w14:textId="77777777" w:rsidR="009F44D6" w:rsidRPr="009F44D6" w:rsidRDefault="009F44D6" w:rsidP="009F44D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F44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„3. Przepisów ust. 1 i 2 oraz art. 12 nie stosuje się do strażaków Państwowej Straży Pożarnej</w:t>
            </w:r>
          </w:p>
          <w:p w14:paraId="00766BF6" w14:textId="476A8B32" w:rsidR="00A06425" w:rsidRPr="00A06425" w:rsidRDefault="009F44D6" w:rsidP="009F44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44D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strażaków OSP, biorących udział w działaniach ratowniczych lub akcjach ratowniczych.”.</w:t>
            </w:r>
          </w:p>
        </w:tc>
        <w:tc>
          <w:tcPr>
            <w:tcW w:w="3627" w:type="dxa"/>
          </w:tcPr>
          <w:p w14:paraId="5A18686C" w14:textId="201E41D3" w:rsidR="00A06425" w:rsidRPr="00A06425" w:rsidRDefault="00B16BEC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</w:tc>
      </w:tr>
      <w:tr w:rsidR="009A5E6E" w:rsidRPr="00A06425" w14:paraId="75F542F3" w14:textId="77777777" w:rsidTr="00895ACE">
        <w:tc>
          <w:tcPr>
            <w:tcW w:w="562" w:type="dxa"/>
          </w:tcPr>
          <w:p w14:paraId="55C23034" w14:textId="459925D8" w:rsidR="009A5E6E" w:rsidRPr="00A06425" w:rsidRDefault="009A5E6E" w:rsidP="009A5E6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15C00E10" w14:textId="28857E9B" w:rsidR="009A5E6E" w:rsidRDefault="009A5E6E" w:rsidP="009A5E6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  <w:proofErr w:type="spellEnd"/>
          </w:p>
        </w:tc>
        <w:tc>
          <w:tcPr>
            <w:tcW w:w="1843" w:type="dxa"/>
          </w:tcPr>
          <w:p w14:paraId="03E8471F" w14:textId="75F0026B" w:rsidR="009A5E6E" w:rsidRDefault="009A5E6E" w:rsidP="009A5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OSR</w:t>
            </w:r>
          </w:p>
        </w:tc>
        <w:tc>
          <w:tcPr>
            <w:tcW w:w="4678" w:type="dxa"/>
          </w:tcPr>
          <w:p w14:paraId="0DDDFBA2" w14:textId="77777777" w:rsidR="009A5E6E" w:rsidRPr="00425F56" w:rsidRDefault="009A5E6E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Projekt ustawy w dalszym ciągu nie określa jakie będą spodziewane wpływy z tytułu administracyjnych kar pieniężnych, o których mowa w art. 60-62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(będących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now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ymi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zobowiązani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wieloletni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mi). Projekt nie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określa również reguły wydatkowej dla NFOŚiGW. W pkt 6 OSR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skutki finansowe projektowanych regulacji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dla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NFOŚiGW i </w:t>
            </w:r>
            <w:proofErr w:type="spellStart"/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wfośigw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określone jako zerowe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związku z czym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nie ma możliwości oszacowa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nowych przychodów wprowadzanych ww. ustawą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co jest niezbędne dla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ewentualn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zabezpiecz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enia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środk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w budżecie.</w:t>
            </w:r>
          </w:p>
          <w:p w14:paraId="00FD126F" w14:textId="180B3565" w:rsidR="009A5E6E" w:rsidRDefault="009A5E6E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Finansowanie działań polegających na usuwaniu lub zabezpieczaniu wyrobów zawierających azbest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transporcie i unieszkodliwianiu odpadów zawierających azbest uwarunkowane jest dostępnością środków w budżecie na realizację przedmiotowych przedsięwzięć oraz określeniem wpływów do NFOŚiGW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 xml:space="preserve"> które będą mogły być redystrybuowane na ten cel. Aktualnie, jedynym źródłem przychodów, które może posłużyć NFOŚiGW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finansowaniu tych działań są wpływy z administracyjnych kar pieniężnych wskazane w projekcie ustawy.</w:t>
            </w:r>
          </w:p>
        </w:tc>
        <w:tc>
          <w:tcPr>
            <w:tcW w:w="3544" w:type="dxa"/>
          </w:tcPr>
          <w:p w14:paraId="07B8D936" w14:textId="77777777" w:rsidR="009A5E6E" w:rsidRPr="009F44D6" w:rsidRDefault="009A5E6E" w:rsidP="009A5E6E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3627" w:type="dxa"/>
          </w:tcPr>
          <w:p w14:paraId="4F447396" w14:textId="77777777" w:rsidR="009A5E6E" w:rsidRDefault="009A5E6E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 </w:t>
            </w:r>
          </w:p>
          <w:p w14:paraId="7BA42EA1" w14:textId="77777777" w:rsidR="00FA74AC" w:rsidRDefault="00FA74AC" w:rsidP="00B02E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4428B" w14:textId="5D14A253" w:rsidR="00FA74AC" w:rsidRDefault="009A5E6E" w:rsidP="00B0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zauważono administracyjne kary pieniężne, o których mowa w </w:t>
            </w:r>
            <w:r w:rsidRPr="00425F56">
              <w:rPr>
                <w:rFonts w:asciiTheme="minorHAnsi" w:hAnsiTheme="minorHAnsi" w:cstheme="minorHAnsi"/>
                <w:sz w:val="22"/>
                <w:szCs w:val="22"/>
              </w:rPr>
              <w:t>art. 60-62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są </w:t>
            </w:r>
            <w:r w:rsidRPr="003F0402">
              <w:rPr>
                <w:rFonts w:asciiTheme="minorHAnsi" w:hAnsiTheme="minorHAnsi" w:cstheme="minorHAnsi"/>
                <w:sz w:val="22"/>
                <w:szCs w:val="22"/>
              </w:rPr>
              <w:t>nowym instrumentem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45F30C2" w14:textId="07853645" w:rsidR="00FA74AC" w:rsidRPr="00FA74AC" w:rsidRDefault="00FA74AC" w:rsidP="00FA74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>ie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związku z tym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 xml:space="preserve"> możliwości realnego oszacowania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wysokości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wpływów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tych kar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 xml:space="preserve">, dlatego też nie zostały one uwzględnione w skutkach finansowych projektowanej ustawy. </w:t>
            </w:r>
          </w:p>
          <w:p w14:paraId="5A261F9A" w14:textId="12DE5EB7" w:rsidR="00FA74AC" w:rsidRDefault="00FA74AC" w:rsidP="00FA74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>Obecnie obowiązujące przepisy nie przewidują sankcji karnych za te naruszenia, w związku z czym nie ma danych o liczbie i wysokości administracyjnych kar pieniężnych w tym zakresie. Brak danych skutecznie uniemożliwia oszacowanie wpływów z administracyjnych kar pieniężnych.</w:t>
            </w:r>
          </w:p>
          <w:p w14:paraId="16601ADC" w14:textId="77777777" w:rsidR="00FA74AC" w:rsidRDefault="00FA74AC" w:rsidP="00B02E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60586A" w14:textId="057CC2CA" w:rsidR="00FA74AC" w:rsidRPr="00FA74AC" w:rsidRDefault="009A5E6E" w:rsidP="00FA74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0402">
              <w:rPr>
                <w:rFonts w:asciiTheme="minorHAnsi" w:hAnsiTheme="minorHAnsi" w:cstheme="minorHAnsi"/>
                <w:sz w:val="22"/>
                <w:szCs w:val="22"/>
              </w:rPr>
              <w:t xml:space="preserve">Aby nie usztywniać wydatków NFOŚiGW nie została w projekcie ustawy wpisana kwota corocznego wsparcia. W latach 2019-2023 kwota alokacji wynosiła 100 mln zł. </w:t>
            </w:r>
            <w:r w:rsidR="00983B57">
              <w:rPr>
                <w:rFonts w:asciiTheme="minorHAnsi" w:hAnsiTheme="minorHAnsi" w:cstheme="minorHAnsi"/>
                <w:sz w:val="22"/>
                <w:szCs w:val="22"/>
              </w:rPr>
              <w:t xml:space="preserve">Obecnie jak wynika z informacji uzyskanych z </w:t>
            </w:r>
            <w:proofErr w:type="spellStart"/>
            <w:r w:rsidR="00983B57">
              <w:rPr>
                <w:rFonts w:asciiTheme="minorHAnsi" w:hAnsiTheme="minorHAnsi" w:cstheme="minorHAnsi"/>
                <w:sz w:val="22"/>
                <w:szCs w:val="22"/>
              </w:rPr>
              <w:t>MKiŚ</w:t>
            </w:r>
            <w:proofErr w:type="spellEnd"/>
            <w:r w:rsidR="00983B57">
              <w:rPr>
                <w:rFonts w:asciiTheme="minorHAnsi" w:hAnsiTheme="minorHAnsi" w:cstheme="minorHAnsi"/>
                <w:sz w:val="22"/>
                <w:szCs w:val="22"/>
              </w:rPr>
              <w:t xml:space="preserve"> na lata 2026-2027 zostały zabezpieczone środki na usuwanie azbestu z gospodarstw rolnych do poziomu 100 mln zł (projekt z KPO). </w:t>
            </w:r>
            <w:r w:rsidR="00B02E22">
              <w:rPr>
                <w:rFonts w:asciiTheme="minorHAnsi" w:hAnsiTheme="minorHAnsi" w:cstheme="minorHAnsi"/>
                <w:sz w:val="22"/>
                <w:szCs w:val="22"/>
              </w:rPr>
              <w:t xml:space="preserve">Projektodawca zakłada, że koszty będą pokrywane m.in. </w:t>
            </w:r>
            <w:r w:rsidR="00B02E22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ze środków NFOŚiGW i </w:t>
            </w:r>
            <w:proofErr w:type="spellStart"/>
            <w:r w:rsidR="00B02E22" w:rsidRPr="00B02E22">
              <w:rPr>
                <w:rFonts w:asciiTheme="minorHAnsi" w:hAnsiTheme="minorHAnsi" w:cstheme="minorHAnsi"/>
                <w:sz w:val="22"/>
                <w:szCs w:val="22"/>
              </w:rPr>
              <w:t>WFOŚiGW</w:t>
            </w:r>
            <w:proofErr w:type="spellEnd"/>
            <w:r w:rsidR="00B02E22" w:rsidRPr="00B02E22">
              <w:rPr>
                <w:rFonts w:asciiTheme="minorHAnsi" w:hAnsiTheme="minorHAnsi" w:cstheme="minorHAnsi"/>
                <w:sz w:val="22"/>
                <w:szCs w:val="22"/>
              </w:rPr>
              <w:t>, w tym z wpływów z administracyjnych kar pieniężnych przewidzianych w projekcie ustawy, utrzymane na obecnym poziomie</w:t>
            </w:r>
            <w:r w:rsidR="00B02E2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100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74AC" w:rsidRPr="00FA74AC">
              <w:rPr>
                <w:rFonts w:asciiTheme="minorHAnsi" w:hAnsiTheme="minorHAnsi" w:cstheme="minorHAnsi"/>
                <w:sz w:val="22"/>
                <w:szCs w:val="22"/>
              </w:rPr>
              <w:t>Wpływy z administracyjnych kar pieniężnych będą stanowiły przychód NFOŚiGW.</w:t>
            </w:r>
          </w:p>
          <w:p w14:paraId="59719886" w14:textId="39389EFF" w:rsidR="009A5E6E" w:rsidRDefault="00FA74AC" w:rsidP="00FA74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>Kary wskazane w projekcie ustawy mają przede wszystkim pełnić funkcję prewencyjną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t xml:space="preserve">Tym samym wpływy z kar nie mogą zastąpić środków NFOŚiGW, który od lat wspiera usuwanie wyrobów zawierających azbest, co jest zgodne z programem </w:t>
            </w:r>
            <w:r w:rsidRPr="00FA74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wieloletnim pn. „Program oczyszczania kraju z azbestu na lata 2009-2032”. Funkcja redystrybucyjna nie jest funkcją podstawową pieniężnych kar administracyjnych.</w:t>
            </w:r>
          </w:p>
        </w:tc>
      </w:tr>
      <w:tr w:rsidR="009A5E6E" w:rsidRPr="00A06425" w14:paraId="3F319E5A" w14:textId="77777777" w:rsidTr="00895ACE">
        <w:tc>
          <w:tcPr>
            <w:tcW w:w="562" w:type="dxa"/>
          </w:tcPr>
          <w:p w14:paraId="4C7F9B0B" w14:textId="12B285CF" w:rsidR="009A5E6E" w:rsidRPr="00A06425" w:rsidRDefault="009A5E6E" w:rsidP="009A5E6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</w:tcPr>
          <w:p w14:paraId="566BDF78" w14:textId="3FD4634F" w:rsidR="009A5E6E" w:rsidRDefault="009A5E6E" w:rsidP="009A5E6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</w:tcPr>
          <w:p w14:paraId="0368DCB5" w14:textId="1868F419" w:rsidR="009A5E6E" w:rsidRDefault="00BF55E0" w:rsidP="009A5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53 i 54</w:t>
            </w:r>
          </w:p>
        </w:tc>
        <w:tc>
          <w:tcPr>
            <w:tcW w:w="4678" w:type="dxa"/>
          </w:tcPr>
          <w:p w14:paraId="5DE1C0FA" w14:textId="72769FF7" w:rsidR="009A5E6E" w:rsidRPr="009A5E6E" w:rsidRDefault="009A5E6E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5E6E">
              <w:rPr>
                <w:rFonts w:asciiTheme="minorHAnsi" w:hAnsiTheme="minorHAnsi" w:cstheme="minorHAnsi"/>
                <w:sz w:val="22"/>
                <w:szCs w:val="22"/>
              </w:rPr>
              <w:t xml:space="preserve">Analiza przedstawionego do opinii projektu ustawy wskazuje, że projektowane regulacje poszerzają krąg osób uprawnionych do uzyskania jednorazowego odszkodowania oraz świadczenia przedemerytalnego, w porównaniu do obecnie obowiązujących przepisów. </w:t>
            </w:r>
          </w:p>
          <w:p w14:paraId="68E7C49F" w14:textId="38B52424" w:rsidR="009A5E6E" w:rsidRDefault="009A5E6E" w:rsidP="009A5E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5E6E">
              <w:rPr>
                <w:rFonts w:asciiTheme="minorHAnsi" w:hAnsiTheme="minorHAnsi" w:cstheme="minorHAnsi"/>
                <w:sz w:val="22"/>
                <w:szCs w:val="22"/>
              </w:rPr>
              <w:t>Informujemy, że w wyniku realizacji projektowanych przepisów może także zwiększyć się liczba jednorazowych odszkodowań, do których wypłaty zobowiązany będzie Zakład Ubezpieczeń Społecznych. Wydatki z tego tytułu nie zostały natomiast uwzględnione w planach finansowych wydatków budżetu państwa w części 73 ZUS na rok 2025 i 2026.</w:t>
            </w:r>
          </w:p>
        </w:tc>
        <w:tc>
          <w:tcPr>
            <w:tcW w:w="3544" w:type="dxa"/>
          </w:tcPr>
          <w:p w14:paraId="1E6F02CC" w14:textId="77777777" w:rsidR="009A5E6E" w:rsidRPr="009F44D6" w:rsidRDefault="009A5E6E" w:rsidP="009A5E6E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3627" w:type="dxa"/>
          </w:tcPr>
          <w:p w14:paraId="50692A3E" w14:textId="77777777" w:rsidR="00D87857" w:rsidRDefault="00D87857" w:rsidP="00D878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 </w:t>
            </w:r>
          </w:p>
          <w:p w14:paraId="72B4540C" w14:textId="77777777" w:rsidR="00D87857" w:rsidRDefault="00D87857" w:rsidP="009A5E6E">
            <w:pPr>
              <w:rPr>
                <w:rFonts w:ascii="Lato" w:hAnsi="Lato"/>
                <w:bCs/>
                <w:sz w:val="20"/>
                <w:szCs w:val="20"/>
              </w:rPr>
            </w:pPr>
          </w:p>
          <w:p w14:paraId="533626C1" w14:textId="01F11B1F" w:rsidR="00895ACE" w:rsidRPr="00B02E22" w:rsidRDefault="00BF55E0" w:rsidP="009F7C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Przepisy w zakresie </w:t>
            </w:r>
            <w:r w:rsidR="00895ACE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jednorazowego odszkodowania </w:t>
            </w:r>
            <w:r w:rsidR="009F7C50" w:rsidRPr="00B02E22">
              <w:rPr>
                <w:rFonts w:asciiTheme="minorHAnsi" w:hAnsiTheme="minorHAnsi" w:cstheme="minorHAnsi"/>
                <w:sz w:val="22"/>
                <w:szCs w:val="22"/>
              </w:rPr>
              <w:t>oraz świadczeń</w:t>
            </w:r>
            <w:r w:rsidR="00895ACE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7C50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przedemerytalnych </w:t>
            </w:r>
            <w:r w:rsidR="00895ACE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obecnie już obowiązują. </w:t>
            </w:r>
          </w:p>
          <w:p w14:paraId="30336A4B" w14:textId="2CBA5FD0" w:rsidR="004F0103" w:rsidRDefault="004F0103" w:rsidP="00983B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9F7C50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ie przewiduje się, aby w wyniku realizacji projektowanych przepisów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znacząco </w:t>
            </w:r>
            <w:r w:rsidR="009F7C50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zwiększyła się liczba jednorazowych odszkodowań, do których wypłaty zobowiązany będzie Zakład Ubezpieczeń Społecznych. </w:t>
            </w:r>
          </w:p>
          <w:p w14:paraId="23CB0954" w14:textId="3DBC1586" w:rsidR="009F7C50" w:rsidRPr="00895ACE" w:rsidRDefault="009F7C50" w:rsidP="00983B57">
            <w:pPr>
              <w:rPr>
                <w:rFonts w:ascii="Lato-Regular" w:hAnsi="Lato-Regular" w:cs="Lato-Regular"/>
                <w:sz w:val="20"/>
                <w:szCs w:val="20"/>
              </w:rPr>
            </w:pPr>
            <w:r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Projektodawca założył, że osoby dotychczas uprawnione skorzystały już przynajmniej w większości przypadków z jednorazowego świadczenia, a w przypadku nowo uprawnionych osób nie można oszacować </w:t>
            </w:r>
            <w:r w:rsidR="00D1682A">
              <w:rPr>
                <w:rFonts w:asciiTheme="minorHAnsi" w:hAnsiTheme="minorHAnsi" w:cstheme="minorHAnsi"/>
                <w:sz w:val="22"/>
                <w:szCs w:val="22"/>
              </w:rPr>
              <w:t>wysokości</w:t>
            </w:r>
            <w:r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 wypłaty tych świadczeń. Nawet w przypadku nowych wniosków w tym zakresie nie powinno to powodować konieczności uwzględnienia w planach finansowych wydatków budżetu państwa </w:t>
            </w:r>
            <w:r w:rsidR="00895ACE" w:rsidRPr="009A5E6E">
              <w:rPr>
                <w:rFonts w:asciiTheme="minorHAnsi" w:hAnsiTheme="minorHAnsi" w:cstheme="minorHAnsi"/>
                <w:sz w:val="22"/>
                <w:szCs w:val="22"/>
              </w:rPr>
              <w:t>w części 73 ZUS na rok 2025 i 2026</w:t>
            </w:r>
            <w:r w:rsidR="00895A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dodatkowych środków. Niezależnie od tego </w:t>
            </w:r>
            <w:r w:rsidR="00F85AFB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choć dyrektywa </w:t>
            </w:r>
            <w:r w:rsidR="00BF2090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2023/2668 </w:t>
            </w:r>
            <w:r w:rsidR="00F85AFB" w:rsidRPr="00B02E22">
              <w:rPr>
                <w:rFonts w:asciiTheme="minorHAnsi" w:hAnsiTheme="minorHAnsi" w:cstheme="minorHAnsi"/>
                <w:sz w:val="22"/>
                <w:szCs w:val="22"/>
              </w:rPr>
              <w:t xml:space="preserve">przewiduje termin 21 grudnia 2025 r. na jej wdrożenie, to należy założyć, że kwestia wypłaty ewentualnych odszkodowań pojawi się najwcześniej </w:t>
            </w:r>
            <w:r w:rsidR="002028FE" w:rsidRPr="00B02E22">
              <w:rPr>
                <w:rFonts w:asciiTheme="minorHAnsi" w:hAnsiTheme="minorHAnsi" w:cstheme="minorHAnsi"/>
                <w:sz w:val="22"/>
                <w:szCs w:val="22"/>
              </w:rPr>
              <w:t>w 2026 r.</w:t>
            </w:r>
            <w:r w:rsidR="00436522">
              <w:rPr>
                <w:rFonts w:asciiTheme="minorHAnsi" w:hAnsiTheme="minorHAnsi" w:cstheme="minorHAnsi"/>
                <w:sz w:val="22"/>
                <w:szCs w:val="22"/>
              </w:rPr>
              <w:t xml:space="preserve"> lub 2027 r.</w:t>
            </w:r>
          </w:p>
        </w:tc>
      </w:tr>
    </w:tbl>
    <w:p w14:paraId="6E9AE33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87319"/>
    <w:multiLevelType w:val="hybridMultilevel"/>
    <w:tmpl w:val="9A6C99B0"/>
    <w:lvl w:ilvl="0" w:tplc="31CCE47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945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0059"/>
    <w:rsid w:val="00034258"/>
    <w:rsid w:val="00065821"/>
    <w:rsid w:val="00084889"/>
    <w:rsid w:val="00140BE8"/>
    <w:rsid w:val="0019648E"/>
    <w:rsid w:val="002028FE"/>
    <w:rsid w:val="002715B2"/>
    <w:rsid w:val="002A5E72"/>
    <w:rsid w:val="003124D1"/>
    <w:rsid w:val="003B0BF8"/>
    <w:rsid w:val="003B4105"/>
    <w:rsid w:val="0042247A"/>
    <w:rsid w:val="00436522"/>
    <w:rsid w:val="00473A88"/>
    <w:rsid w:val="00496A0C"/>
    <w:rsid w:val="004D086F"/>
    <w:rsid w:val="004F0103"/>
    <w:rsid w:val="005F6527"/>
    <w:rsid w:val="006705EC"/>
    <w:rsid w:val="006E16E9"/>
    <w:rsid w:val="00780895"/>
    <w:rsid w:val="00807385"/>
    <w:rsid w:val="00895ACE"/>
    <w:rsid w:val="008A4D18"/>
    <w:rsid w:val="00944932"/>
    <w:rsid w:val="00983B57"/>
    <w:rsid w:val="009A5E6E"/>
    <w:rsid w:val="009E5FDB"/>
    <w:rsid w:val="009F44D6"/>
    <w:rsid w:val="009F7C50"/>
    <w:rsid w:val="00A06425"/>
    <w:rsid w:val="00A758FC"/>
    <w:rsid w:val="00AC7796"/>
    <w:rsid w:val="00AE5E10"/>
    <w:rsid w:val="00B02E22"/>
    <w:rsid w:val="00B16BEC"/>
    <w:rsid w:val="00B871B6"/>
    <w:rsid w:val="00BD5A2C"/>
    <w:rsid w:val="00BF2090"/>
    <w:rsid w:val="00BF55E0"/>
    <w:rsid w:val="00C308AE"/>
    <w:rsid w:val="00C64B1B"/>
    <w:rsid w:val="00CD5EB0"/>
    <w:rsid w:val="00D1682A"/>
    <w:rsid w:val="00D60362"/>
    <w:rsid w:val="00D87857"/>
    <w:rsid w:val="00DA5DF8"/>
    <w:rsid w:val="00E14C33"/>
    <w:rsid w:val="00E31472"/>
    <w:rsid w:val="00F85AFB"/>
    <w:rsid w:val="00FA74AC"/>
    <w:rsid w:val="00FC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3F0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A5E6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B02E22"/>
    <w:pPr>
      <w:widowControl w:val="0"/>
      <w:suppressAutoHyphens/>
      <w:spacing w:after="120"/>
    </w:pPr>
    <w:rPr>
      <w:rFonts w:eastAsia="Arial Unicode MS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B02E22"/>
    <w:rPr>
      <w:rFonts w:eastAsia="Arial Unicode MS"/>
      <w:sz w:val="24"/>
      <w:lang w:eastAsia="en-US"/>
    </w:rPr>
  </w:style>
  <w:style w:type="character" w:styleId="Odwoaniedokomentarza">
    <w:name w:val="annotation reference"/>
    <w:uiPriority w:val="99"/>
    <w:unhideWhenUsed/>
    <w:rsid w:val="00FA7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74AC"/>
    <w:pPr>
      <w:spacing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74AC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3</cp:revision>
  <cp:lastPrinted>2025-09-30T13:54:00Z</cp:lastPrinted>
  <dcterms:created xsi:type="dcterms:W3CDTF">2025-10-02T06:17:00Z</dcterms:created>
  <dcterms:modified xsi:type="dcterms:W3CDTF">2025-10-02T06:39:00Z</dcterms:modified>
</cp:coreProperties>
</file>